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B7" w:rsidRPr="002D4652" w:rsidRDefault="00AF5429" w:rsidP="0070403D">
      <w:pPr>
        <w:pStyle w:val="ANOTACION"/>
        <w:rPr>
          <w:rFonts w:ascii="Arial" w:hAnsi="Arial" w:cs="Arial"/>
        </w:rPr>
      </w:pPr>
      <w:r w:rsidRPr="002D4652">
        <w:rPr>
          <w:rFonts w:ascii="Arial" w:hAnsi="Arial" w:cs="Arial"/>
        </w:rPr>
        <w:t>ANEXO 3</w:t>
      </w:r>
    </w:p>
    <w:p w:rsidR="00AF5429" w:rsidRPr="002D4652" w:rsidRDefault="00AF5429" w:rsidP="0070403D">
      <w:pPr>
        <w:pStyle w:val="Texto"/>
        <w:ind w:firstLine="0"/>
        <w:jc w:val="center"/>
        <w:rPr>
          <w:b/>
          <w:color w:val="000000"/>
        </w:rPr>
      </w:pPr>
      <w:r w:rsidRPr="002D4652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5E62A9" w:rsidRPr="002D4652">
        <w:trPr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2D4652" w:rsidRDefault="00FC40CC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MUNICIPIO DE ELOTA</w:t>
            </w:r>
          </w:p>
        </w:tc>
      </w:tr>
      <w:tr w:rsidR="005E62A9" w:rsidRPr="002D4652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bookmarkStart w:id="0" w:name="_GoBack"/>
            <w:bookmarkEnd w:id="0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5E62A9" w:rsidRPr="002D4652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</w:t>
            </w:r>
            <w:r w:rsidR="00FC40CC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 al 31 de diciembre de 2018</w:t>
            </w:r>
          </w:p>
        </w:tc>
      </w:tr>
      <w:tr w:rsidR="005E62A9" w:rsidRPr="002D4652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5E62A9" w:rsidRPr="002D4652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60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184,047,752.00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184,047,752.00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212,901,452.00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184,047,752.00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184,047,752.00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120,165,387.00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711E8B" w:rsidRPr="002D4652" w:rsidRDefault="00711E8B">
      <w:pPr>
        <w:rPr>
          <w:rFonts w:ascii="Arial" w:hAnsi="Arial" w:cs="Arial"/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5E62A9" w:rsidRPr="002D4652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69,297,821.00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67,746,123.00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. V</w:t>
            </w:r>
            <w:r w:rsidR="00FF49F6" w:rsidRPr="002D4652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AB798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711E8B" w:rsidRPr="002D4652" w:rsidRDefault="00711E8B">
      <w:pPr>
        <w:rPr>
          <w:rFonts w:ascii="Arial" w:hAnsi="Arial" w:cs="Arial"/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5E62A9" w:rsidRPr="002D4652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AB798D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21,870,498.00</w:t>
            </w:r>
            <w:r w:rsidR="005E62A9"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31/12/2018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AB798D">
              <w:rPr>
                <w:rFonts w:ascii="Arial" w:hAnsi="Arial" w:cs="Arial"/>
                <w:sz w:val="12"/>
                <w:szCs w:val="12"/>
                <w:lang w:val="es-MX"/>
              </w:rPr>
              <w:t>21,870,498.00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2D4652">
        <w:trPr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2D4652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2D4652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B007B7" w:rsidRPr="002D4652" w:rsidRDefault="00B007B7" w:rsidP="00B007B7">
      <w:pPr>
        <w:pStyle w:val="Texto"/>
        <w:rPr>
          <w:b/>
        </w:rPr>
      </w:pPr>
    </w:p>
    <w:p w:rsidR="003A73E1" w:rsidRPr="002D4652" w:rsidRDefault="003A73E1" w:rsidP="00B007B7">
      <w:pPr>
        <w:pStyle w:val="Texto"/>
        <w:rPr>
          <w:b/>
        </w:rPr>
        <w:sectPr w:rsidR="003A73E1" w:rsidRPr="002D4652" w:rsidSect="003A73E1">
          <w:headerReference w:type="even" r:id="rId8"/>
          <w:headerReference w:type="default" r:id="rId9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A01781" w:rsidRPr="00A01781" w:rsidRDefault="00A01781" w:rsidP="00FC40CC">
      <w:pPr>
        <w:pStyle w:val="ANOTACION"/>
      </w:pPr>
    </w:p>
    <w:sectPr w:rsidR="00A01781" w:rsidRPr="00A01781" w:rsidSect="00B007B7">
      <w:headerReference w:type="even" r:id="rId10"/>
      <w:headerReference w:type="default" r:id="rId11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27" w:rsidRDefault="00555A27">
      <w:r>
        <w:separator/>
      </w:r>
    </w:p>
  </w:endnote>
  <w:endnote w:type="continuationSeparator" w:id="0">
    <w:p w:rsidR="00555A27" w:rsidRDefault="0055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27" w:rsidRDefault="00555A27">
      <w:r>
        <w:separator/>
      </w:r>
    </w:p>
  </w:footnote>
  <w:footnote w:type="continuationSeparator" w:id="0">
    <w:p w:rsidR="00555A27" w:rsidRDefault="0055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5" w:rsidRPr="008A4FDD" w:rsidRDefault="00757565" w:rsidP="008A4F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5" w:rsidRPr="008A4FDD" w:rsidRDefault="00757565" w:rsidP="008A4F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5" w:rsidRPr="00A01781" w:rsidRDefault="00757565" w:rsidP="00A0178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5" w:rsidRPr="00A01781" w:rsidRDefault="00757565" w:rsidP="00A01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7065"/>
    <w:rsid w:val="00195422"/>
    <w:rsid w:val="001A1CAD"/>
    <w:rsid w:val="001A2BCE"/>
    <w:rsid w:val="001A5041"/>
    <w:rsid w:val="001B1144"/>
    <w:rsid w:val="001B6981"/>
    <w:rsid w:val="001C1DC9"/>
    <w:rsid w:val="001E0AD4"/>
    <w:rsid w:val="001E6CB1"/>
    <w:rsid w:val="001F09BB"/>
    <w:rsid w:val="001F249F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652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55A27"/>
    <w:rsid w:val="00567317"/>
    <w:rsid w:val="005724B9"/>
    <w:rsid w:val="00584D74"/>
    <w:rsid w:val="005A0268"/>
    <w:rsid w:val="005A0954"/>
    <w:rsid w:val="005A69CD"/>
    <w:rsid w:val="005B1571"/>
    <w:rsid w:val="005C4019"/>
    <w:rsid w:val="005C75DE"/>
    <w:rsid w:val="005D3024"/>
    <w:rsid w:val="005D4388"/>
    <w:rsid w:val="005D7D14"/>
    <w:rsid w:val="005E2106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696D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379B3"/>
    <w:rsid w:val="008412BC"/>
    <w:rsid w:val="00842BE6"/>
    <w:rsid w:val="00842FB8"/>
    <w:rsid w:val="008600D0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52722"/>
    <w:rsid w:val="00975511"/>
    <w:rsid w:val="009855BF"/>
    <w:rsid w:val="009932CA"/>
    <w:rsid w:val="009A7654"/>
    <w:rsid w:val="009C02DA"/>
    <w:rsid w:val="009D01A6"/>
    <w:rsid w:val="009D144D"/>
    <w:rsid w:val="009D6F05"/>
    <w:rsid w:val="009E1274"/>
    <w:rsid w:val="009E1AC6"/>
    <w:rsid w:val="009E3B35"/>
    <w:rsid w:val="009E4DB1"/>
    <w:rsid w:val="009E63EA"/>
    <w:rsid w:val="009F050F"/>
    <w:rsid w:val="00A01781"/>
    <w:rsid w:val="00A03F21"/>
    <w:rsid w:val="00A31E9B"/>
    <w:rsid w:val="00A333DC"/>
    <w:rsid w:val="00A35A4B"/>
    <w:rsid w:val="00A43243"/>
    <w:rsid w:val="00A477B8"/>
    <w:rsid w:val="00A4797E"/>
    <w:rsid w:val="00A53D31"/>
    <w:rsid w:val="00A65EF7"/>
    <w:rsid w:val="00A7010C"/>
    <w:rsid w:val="00A7251C"/>
    <w:rsid w:val="00A73F8A"/>
    <w:rsid w:val="00A76032"/>
    <w:rsid w:val="00A77E55"/>
    <w:rsid w:val="00A8099D"/>
    <w:rsid w:val="00A81D62"/>
    <w:rsid w:val="00A84922"/>
    <w:rsid w:val="00A90AE8"/>
    <w:rsid w:val="00A971BB"/>
    <w:rsid w:val="00AA7550"/>
    <w:rsid w:val="00AB7088"/>
    <w:rsid w:val="00AB798D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BF2269"/>
    <w:rsid w:val="00C009E0"/>
    <w:rsid w:val="00C01B5D"/>
    <w:rsid w:val="00C02C7A"/>
    <w:rsid w:val="00C151EB"/>
    <w:rsid w:val="00C17122"/>
    <w:rsid w:val="00C258E4"/>
    <w:rsid w:val="00C5254B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45C9"/>
    <w:rsid w:val="00CB318C"/>
    <w:rsid w:val="00CB6995"/>
    <w:rsid w:val="00CC0602"/>
    <w:rsid w:val="00CC39A6"/>
    <w:rsid w:val="00CC71C5"/>
    <w:rsid w:val="00CD6850"/>
    <w:rsid w:val="00CE06BF"/>
    <w:rsid w:val="00CE404E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57AB"/>
    <w:rsid w:val="00DA0A97"/>
    <w:rsid w:val="00DB3001"/>
    <w:rsid w:val="00DB4A71"/>
    <w:rsid w:val="00DC4962"/>
    <w:rsid w:val="00DD78B9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2AA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4A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40CC"/>
    <w:rsid w:val="00FC5DD1"/>
    <w:rsid w:val="00FD0D2C"/>
    <w:rsid w:val="00FD44E8"/>
    <w:rsid w:val="00FD7200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D8137-03A3-4C0C-A438-992A636B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F736-3ECF-457B-9EAD-B8B20F5F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9</TotalTime>
  <Pages>4</Pages>
  <Words>1200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123456</cp:lastModifiedBy>
  <cp:revision>3</cp:revision>
  <cp:lastPrinted>2018-09-28T16:40:00Z</cp:lastPrinted>
  <dcterms:created xsi:type="dcterms:W3CDTF">2019-04-03T20:27:00Z</dcterms:created>
  <dcterms:modified xsi:type="dcterms:W3CDTF">2019-04-02T16:06:00Z</dcterms:modified>
</cp:coreProperties>
</file>